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Lines="50" w:line="580" w:lineRule="exact"/>
        <w:jc w:val="center"/>
        <w:textAlignment w:val="center"/>
        <w:rPr>
          <w:rFonts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英吉沙县易地扶贫搬迁工作年度（综合）自评报告</w:t>
      </w:r>
    </w:p>
    <w:p>
      <w:pPr>
        <w:spacing w:beforeLines="50" w:line="580" w:lineRule="exact"/>
        <w:jc w:val="center"/>
        <w:textAlignment w:val="center"/>
        <w:rPr>
          <w:rFonts w:ascii="Times New Roman" w:hAnsi="Times New Roman" w:eastAsia="方正小标宋简体"/>
          <w:sz w:val="40"/>
          <w:szCs w:val="40"/>
        </w:rPr>
      </w:pPr>
    </w:p>
    <w:p>
      <w:pPr>
        <w:spacing w:line="480" w:lineRule="exact"/>
        <w:ind w:firstLine="640" w:firstLineChars="200"/>
        <w:jc w:val="left"/>
        <w:textAlignment w:val="center"/>
        <w:outlineLvl w:val="0"/>
        <w:rPr>
          <w:rFonts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一、总体评价</w:t>
      </w:r>
    </w:p>
    <w:p>
      <w:pPr>
        <w:spacing w:line="560" w:lineRule="exact"/>
        <w:ind w:firstLine="640" w:firstLineChars="200"/>
        <w:rPr>
          <w:rFonts w:ascii="Times New Roman" w:hAnsi="Times New Roman" w:eastAsia="仿宋_GB2312"/>
          <w:b/>
          <w:bCs/>
          <w:sz w:val="32"/>
          <w:szCs w:val="32"/>
        </w:rPr>
      </w:pPr>
      <w:r>
        <w:rPr>
          <w:rFonts w:hint="eastAsia" w:ascii="仿宋_GB2312" w:hAnsi="仿宋_GB2312" w:eastAsia="仿宋_GB2312" w:cs="仿宋_GB2312"/>
          <w:bCs/>
          <w:sz w:val="32"/>
          <w:szCs w:val="32"/>
        </w:rPr>
        <w:t>通过易地搬迁项目的实施，解决搬迁户住房隐患、用水、用电难等问题，提高搬迁户生产生活条件；通过后续产业发展，帮助搬迁户达到</w:t>
      </w:r>
      <w:r>
        <w:rPr>
          <w:rFonts w:hint="eastAsia" w:ascii="仿宋" w:hAnsi="仿宋" w:eastAsia="仿宋"/>
          <w:sz w:val="32"/>
          <w:szCs w:val="32"/>
        </w:rPr>
        <w:t>搬得出、稳得住、有事做、能致富，确保搬迁对象尽快脱贫，从根本上解决生计问题。</w:t>
      </w:r>
    </w:p>
    <w:p>
      <w:pPr>
        <w:spacing w:line="480" w:lineRule="exact"/>
        <w:ind w:firstLine="640" w:firstLineChars="200"/>
        <w:jc w:val="left"/>
        <w:textAlignment w:val="center"/>
        <w:outlineLvl w:val="0"/>
        <w:rPr>
          <w:rFonts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二、基本情况</w:t>
      </w:r>
    </w:p>
    <w:p>
      <w:pPr>
        <w:spacing w:line="480" w:lineRule="exact"/>
        <w:ind w:firstLine="640" w:firstLineChars="200"/>
        <w:jc w:val="left"/>
        <w:textAlignment w:val="center"/>
        <w:outlineLvl w:val="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（一）工作进展情况</w:t>
      </w:r>
    </w:p>
    <w:p>
      <w:pPr>
        <w:spacing w:line="570" w:lineRule="exact"/>
        <w:ind w:firstLine="640" w:firstLineChars="200"/>
        <w:rPr>
          <w:rFonts w:ascii="仿宋" w:hAnsi="仿宋" w:eastAsia="仿宋"/>
          <w:sz w:val="32"/>
          <w:szCs w:val="32"/>
        </w:rPr>
      </w:pPr>
      <w:r>
        <w:rPr>
          <w:rFonts w:ascii="仿宋" w:hAnsi="仿宋" w:eastAsia="仿宋"/>
          <w:sz w:val="32"/>
          <w:szCs w:val="32"/>
        </w:rPr>
        <w:t>英吉沙县2016年易地扶贫搬迁项目</w:t>
      </w:r>
      <w:r>
        <w:rPr>
          <w:rFonts w:hint="eastAsia" w:ascii="仿宋" w:hAnsi="仿宋" w:eastAsia="仿宋"/>
          <w:sz w:val="32"/>
          <w:szCs w:val="32"/>
        </w:rPr>
        <w:t>总投资2282万元</w:t>
      </w:r>
      <w:r>
        <w:rPr>
          <w:rFonts w:ascii="仿宋" w:hAnsi="仿宋" w:eastAsia="仿宋"/>
          <w:sz w:val="32"/>
          <w:szCs w:val="32"/>
        </w:rPr>
        <w:t>，其中：中央预算内资金382万元，</w:t>
      </w:r>
      <w:r>
        <w:rPr>
          <w:rFonts w:hint="eastAsia" w:ascii="仿宋" w:hAnsi="仿宋" w:eastAsia="仿宋"/>
          <w:sz w:val="32"/>
          <w:szCs w:val="32"/>
        </w:rPr>
        <w:t>专项建设基金</w:t>
      </w:r>
      <w:r>
        <w:rPr>
          <w:rFonts w:ascii="仿宋" w:hAnsi="仿宋" w:eastAsia="仿宋"/>
          <w:sz w:val="32"/>
          <w:szCs w:val="32"/>
        </w:rPr>
        <w:t>191万元（收回后以扶贫债券形式下发），</w:t>
      </w:r>
      <w:r>
        <w:rPr>
          <w:rFonts w:hint="eastAsia" w:ascii="仿宋" w:hAnsi="仿宋" w:eastAsia="仿宋"/>
          <w:sz w:val="32"/>
          <w:szCs w:val="32"/>
        </w:rPr>
        <w:t>地方政府债券</w:t>
      </w:r>
      <w:r>
        <w:rPr>
          <w:rFonts w:ascii="仿宋" w:hAnsi="仿宋" w:eastAsia="仿宋"/>
          <w:sz w:val="32"/>
          <w:szCs w:val="32"/>
        </w:rPr>
        <w:t>372万元，低息贷款1337万元。安置搬迁103户3</w:t>
      </w:r>
      <w:r>
        <w:rPr>
          <w:rFonts w:hint="eastAsia" w:ascii="仿宋" w:hAnsi="仿宋" w:eastAsia="仿宋"/>
          <w:sz w:val="32"/>
          <w:szCs w:val="32"/>
        </w:rPr>
        <w:t>97</w:t>
      </w:r>
      <w:r>
        <w:rPr>
          <w:rFonts w:ascii="仿宋" w:hAnsi="仿宋" w:eastAsia="仿宋"/>
          <w:sz w:val="32"/>
          <w:szCs w:val="32"/>
        </w:rPr>
        <w:t>人，建设住房103套，总建筑面积6180平方米，配套修建防渗渠10公里，新建温室大棚10座，新建拱棚103座，自来水入户和电力入户各103户，发展庭院经济103户，低产田改造515亩，宅基地生态恢复103亩。截止目前，</w:t>
      </w:r>
      <w:r>
        <w:rPr>
          <w:rFonts w:hint="eastAsia" w:ascii="仿宋" w:hAnsi="仿宋" w:eastAsia="仿宋"/>
          <w:sz w:val="32"/>
          <w:szCs w:val="32"/>
        </w:rPr>
        <w:t>项目已全部完工，</w:t>
      </w:r>
      <w:r>
        <w:rPr>
          <w:rFonts w:ascii="仿宋" w:hAnsi="仿宋" w:eastAsia="仿宋"/>
          <w:sz w:val="32"/>
          <w:szCs w:val="32"/>
        </w:rPr>
        <w:t>资金已全部拨付完毕。</w:t>
      </w:r>
    </w:p>
    <w:p>
      <w:pPr>
        <w:spacing w:line="570" w:lineRule="exact"/>
        <w:ind w:firstLine="640" w:firstLineChars="200"/>
        <w:rPr>
          <w:rFonts w:ascii="仿宋" w:hAnsi="仿宋" w:eastAsia="仿宋"/>
          <w:sz w:val="32"/>
          <w:szCs w:val="32"/>
        </w:rPr>
      </w:pPr>
      <w:r>
        <w:rPr>
          <w:rFonts w:hint="eastAsia" w:ascii="仿宋" w:hAnsi="仿宋" w:eastAsia="仿宋"/>
          <w:sz w:val="32"/>
          <w:szCs w:val="32"/>
        </w:rPr>
        <w:t>英吉沙县</w:t>
      </w:r>
      <w:r>
        <w:rPr>
          <w:rFonts w:ascii="仿宋" w:hAnsi="仿宋" w:eastAsia="仿宋"/>
          <w:sz w:val="32"/>
          <w:szCs w:val="32"/>
        </w:rPr>
        <w:t>2016年易地扶贫搬迁项目</w:t>
      </w:r>
      <w:r>
        <w:rPr>
          <w:rFonts w:hint="eastAsia" w:ascii="仿宋" w:hAnsi="仿宋" w:eastAsia="仿宋"/>
          <w:sz w:val="32"/>
          <w:szCs w:val="32"/>
        </w:rPr>
        <w:t xml:space="preserve">共有7个安置点，其中：芒辛乡1个安置点，艾古斯乡6个安置点，共安置103户397人，全部为建档立卡贫困户。 </w:t>
      </w:r>
    </w:p>
    <w:p>
      <w:pPr>
        <w:spacing w:line="57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目前，资金已全部拨付完毕，拨付率100%。</w:t>
      </w:r>
    </w:p>
    <w:p>
      <w:pPr>
        <w:spacing w:line="480" w:lineRule="exact"/>
        <w:ind w:firstLine="640" w:firstLineChars="200"/>
        <w:jc w:val="left"/>
        <w:textAlignment w:val="center"/>
        <w:outlineLvl w:val="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（二）取得的成效</w:t>
      </w:r>
    </w:p>
    <w:p>
      <w:pPr>
        <w:spacing w:line="520" w:lineRule="exact"/>
        <w:ind w:firstLine="640" w:firstLineChars="200"/>
        <w:rPr>
          <w:rFonts w:ascii="Times New Roman" w:hAnsi="Times New Roman" w:eastAsia="仿宋_GB2312"/>
          <w:sz w:val="32"/>
          <w:szCs w:val="32"/>
        </w:rPr>
      </w:pPr>
      <w:r>
        <w:rPr>
          <w:rFonts w:hint="eastAsia" w:ascii="仿宋_GB2312" w:hAnsi="仿宋_GB2312" w:eastAsia="仿宋_GB2312" w:cs="仿宋_GB2312"/>
          <w:bCs/>
          <w:sz w:val="32"/>
          <w:szCs w:val="32"/>
        </w:rPr>
        <w:t>完成103户搬迁户住房建设，</w:t>
      </w:r>
      <w:r>
        <w:rPr>
          <w:rFonts w:hint="eastAsia" w:ascii="方正仿宋_GBK" w:hAnsi="方正仿宋_GBK" w:eastAsia="方正仿宋_GBK" w:cs="方正仿宋_GBK"/>
          <w:sz w:val="32"/>
          <w:szCs w:val="32"/>
        </w:rPr>
        <w:t>配套修建防渗渠10公里，新建温室大棚10座，新建拱棚103座，自来水入户和电力入户各103户，发展庭院经济103户，低产田改造515亩，宅基地生态恢复103亩。并</w:t>
      </w:r>
      <w:r>
        <w:rPr>
          <w:rFonts w:hint="eastAsia" w:ascii="仿宋_GB2312" w:hAnsi="仿宋_GB2312" w:eastAsia="仿宋_GB2312" w:cs="仿宋_GB2312"/>
          <w:bCs/>
          <w:sz w:val="32"/>
          <w:szCs w:val="32"/>
        </w:rPr>
        <w:t>依托行政村水、电、路、幼儿园、卫生室、活动室等基础设施建设，提高搬迁户的幸福感和满足感；低产田改造、温室大棚、拱棚等农业设施，通过农村合作社承包或流转等方式，折股量化，对搬迁户进行收益分红。</w:t>
      </w:r>
    </w:p>
    <w:p>
      <w:pPr>
        <w:spacing w:line="480" w:lineRule="exact"/>
        <w:ind w:firstLine="640" w:firstLineChars="200"/>
        <w:jc w:val="left"/>
        <w:textAlignment w:val="center"/>
        <w:outlineLvl w:val="0"/>
        <w:rPr>
          <w:rFonts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32"/>
        </w:rPr>
        <w:t>三、工作评价</w:t>
      </w:r>
    </w:p>
    <w:p>
      <w:pPr>
        <w:numPr>
          <w:ilvl w:val="0"/>
          <w:numId w:val="1"/>
        </w:numPr>
        <w:spacing w:line="480" w:lineRule="exact"/>
        <w:ind w:firstLine="640" w:firstLineChars="200"/>
        <w:jc w:val="left"/>
        <w:textAlignment w:val="center"/>
        <w:outlineLvl w:val="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搬迁对象精准识别</w:t>
      </w:r>
    </w:p>
    <w:p>
      <w:pPr>
        <w:spacing w:line="480" w:lineRule="exact"/>
        <w:ind w:firstLine="640" w:firstLineChars="200"/>
        <w:jc w:val="left"/>
        <w:textAlignment w:val="center"/>
        <w:outlineLvl w:val="0"/>
        <w:rPr>
          <w:rFonts w:ascii="Times New Roman" w:hAnsi="Times New Roman" w:eastAsia="仿宋_GB2312"/>
          <w:sz w:val="32"/>
          <w:szCs w:val="32"/>
        </w:rPr>
      </w:pPr>
      <w:r>
        <w:rPr>
          <w:rFonts w:hint="eastAsia" w:ascii="Times New Roman" w:hAnsi="Times New Roman" w:eastAsia="仿宋_GB2312"/>
          <w:sz w:val="32"/>
          <w:szCs w:val="32"/>
        </w:rPr>
        <w:t>按照“一方水土养不起一方人”的标准，核实搬迁对象精准。符合搬迁条件的建档立卡贫困人口做到“应搬尽搬”。不存在“应搬未搬”情况，确定迁出区和搬迁规划，搬迁对象全部为建档立卡贫困户。（评分为19分）</w:t>
      </w:r>
    </w:p>
    <w:p>
      <w:pPr>
        <w:spacing w:line="480" w:lineRule="exact"/>
        <w:ind w:firstLine="640" w:firstLineChars="200"/>
        <w:jc w:val="left"/>
        <w:textAlignment w:val="center"/>
        <w:outlineLvl w:val="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（二）安置点选址</w:t>
      </w:r>
    </w:p>
    <w:p>
      <w:pPr>
        <w:spacing w:line="480" w:lineRule="exact"/>
        <w:ind w:firstLine="640" w:firstLineChars="200"/>
        <w:jc w:val="left"/>
        <w:textAlignment w:val="center"/>
        <w:outlineLvl w:val="0"/>
        <w:rPr>
          <w:rFonts w:ascii="Times New Roman" w:hAnsi="Times New Roman" w:eastAsia="仿宋"/>
          <w:sz w:val="32"/>
          <w:szCs w:val="32"/>
        </w:rPr>
      </w:pPr>
      <w:r>
        <w:rPr>
          <w:rFonts w:hint="eastAsia" w:ascii="仿宋" w:hAnsi="仿宋" w:eastAsia="仿宋"/>
          <w:sz w:val="32"/>
          <w:szCs w:val="32"/>
        </w:rPr>
        <w:t>英吉沙县</w:t>
      </w:r>
      <w:r>
        <w:rPr>
          <w:rFonts w:ascii="仿宋" w:hAnsi="仿宋" w:eastAsia="仿宋"/>
          <w:sz w:val="32"/>
          <w:szCs w:val="32"/>
        </w:rPr>
        <w:t>2016年易地扶贫搬迁项目</w:t>
      </w:r>
      <w:r>
        <w:rPr>
          <w:rFonts w:hint="eastAsia" w:ascii="仿宋" w:hAnsi="仿宋" w:eastAsia="仿宋"/>
          <w:sz w:val="32"/>
          <w:szCs w:val="32"/>
        </w:rPr>
        <w:t>共有7个安置点，其中：芒辛乡1个安置点，位于芒辛乡亚格吐曼（12）村；艾古斯乡6个安置点，分别位于艾古斯康帕（1）村、康帕（2）村、先来米（3）村、托格日艾日克（5）村、玉瑞克且克买里（6）村、英其开艾日克（8）村。共安置103户397人，全部为建档立卡贫困户。（评分为9分）</w:t>
      </w:r>
    </w:p>
    <w:p>
      <w:pPr>
        <w:spacing w:line="480" w:lineRule="exact"/>
        <w:ind w:firstLine="640" w:firstLineChars="200"/>
        <w:jc w:val="left"/>
        <w:textAlignment w:val="center"/>
        <w:outlineLvl w:val="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（三）政策执行</w:t>
      </w:r>
    </w:p>
    <w:p>
      <w:pPr>
        <w:spacing w:line="480" w:lineRule="exact"/>
        <w:ind w:firstLine="640" w:firstLineChars="200"/>
        <w:jc w:val="left"/>
        <w:textAlignment w:val="center"/>
        <w:outlineLvl w:val="0"/>
        <w:rPr>
          <w:rFonts w:ascii="仿宋" w:hAnsi="仿宋" w:eastAsia="仿宋_GB2312"/>
          <w:sz w:val="32"/>
          <w:szCs w:val="32"/>
        </w:rPr>
      </w:pPr>
      <w:r>
        <w:rPr>
          <w:rFonts w:hint="eastAsia" w:ascii="Times New Roman" w:hAnsi="Times New Roman" w:eastAsia="仿宋_GB2312"/>
          <w:sz w:val="32"/>
          <w:szCs w:val="32"/>
        </w:rPr>
        <w:t>认真执行国家及自治区深度贫困地区搬迁政策规定。（评分为20分）</w:t>
      </w:r>
    </w:p>
    <w:p>
      <w:pPr>
        <w:numPr>
          <w:ilvl w:val="0"/>
          <w:numId w:val="2"/>
        </w:numPr>
        <w:spacing w:line="480" w:lineRule="exact"/>
        <w:ind w:firstLine="640" w:firstLineChars="200"/>
        <w:jc w:val="left"/>
        <w:textAlignment w:val="center"/>
        <w:outlineLvl w:val="0"/>
        <w:rPr>
          <w:rFonts w:ascii="方正仿宋_GBK" w:hAnsi="方正仿宋_GBK" w:eastAsia="方正仿宋_GBK" w:cs="方正仿宋_GBK"/>
          <w:b/>
          <w:bCs/>
          <w:sz w:val="32"/>
          <w:szCs w:val="32"/>
        </w:rPr>
      </w:pPr>
      <w:r>
        <w:rPr>
          <w:rFonts w:hint="eastAsia" w:ascii="方正仿宋_GBK" w:hAnsi="方正仿宋_GBK" w:eastAsia="方正仿宋_GBK" w:cs="方正仿宋_GBK"/>
          <w:b/>
          <w:bCs/>
          <w:sz w:val="32"/>
          <w:szCs w:val="32"/>
        </w:rPr>
        <w:t>工程建设</w:t>
      </w:r>
    </w:p>
    <w:p>
      <w:pPr>
        <w:spacing w:line="480" w:lineRule="exact"/>
        <w:ind w:firstLine="640" w:firstLineChars="200"/>
        <w:jc w:val="left"/>
        <w:textAlignment w:val="center"/>
        <w:outlineLvl w:val="0"/>
        <w:rPr>
          <w:rFonts w:ascii="Times New Roman" w:hAnsi="Times New Roman" w:eastAsia="仿宋_GB2312"/>
          <w:sz w:val="32"/>
          <w:szCs w:val="32"/>
        </w:rPr>
      </w:pPr>
      <w:r>
        <w:rPr>
          <w:rFonts w:hint="eastAsia" w:ascii="仿宋" w:hAnsi="仿宋" w:eastAsia="仿宋"/>
          <w:sz w:val="32"/>
          <w:szCs w:val="32"/>
        </w:rPr>
        <w:t>工程建设严格按照项目法人责任制、工程监理制、招投标制、合同管理制进行管理；严把质量关，施工单位坚持把精、细、严、实要求贯穿到各个环节，确保把重点工程建成优质工程、精品工程，经得起时间和历史的检验。英吉沙县易地扶贫搬迁项目共7个安置点，每个安置点的住房、配套基础设施、公共服务设施建设已全部完工。饮水、道路、供电等基础设施和学校、卫生院、广播电视等公共服务设施都能能满足安置点搬迁户的需求。</w:t>
      </w:r>
      <w:r>
        <w:rPr>
          <w:rFonts w:hint="eastAsia" w:ascii="Times New Roman" w:hAnsi="Times New Roman" w:eastAsia="仿宋_GB2312"/>
          <w:sz w:val="32"/>
          <w:szCs w:val="32"/>
        </w:rPr>
        <w:t>(评分为10分)</w:t>
      </w:r>
    </w:p>
    <w:p>
      <w:pPr>
        <w:spacing w:line="560" w:lineRule="exact"/>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（五）资金使用</w:t>
      </w:r>
    </w:p>
    <w:p>
      <w:pPr>
        <w:spacing w:line="570" w:lineRule="exact"/>
        <w:ind w:firstLine="640" w:firstLineChars="200"/>
        <w:rPr>
          <w:rFonts w:ascii="仿宋_GB2312" w:hAnsi="仿宋_GB2312" w:eastAsia="仿宋" w:cs="仿宋_GB2312"/>
          <w:bCs/>
          <w:sz w:val="32"/>
          <w:szCs w:val="32"/>
        </w:rPr>
      </w:pPr>
      <w:r>
        <w:rPr>
          <w:rFonts w:ascii="仿宋" w:hAnsi="仿宋" w:eastAsia="仿宋"/>
          <w:sz w:val="32"/>
          <w:szCs w:val="32"/>
        </w:rPr>
        <w:t>英吉沙县2016年易地扶贫搬迁项目</w:t>
      </w:r>
      <w:r>
        <w:rPr>
          <w:rFonts w:hint="eastAsia" w:ascii="仿宋" w:hAnsi="仿宋" w:eastAsia="仿宋"/>
          <w:sz w:val="32"/>
          <w:szCs w:val="32"/>
        </w:rPr>
        <w:t>总投资2282万元</w:t>
      </w:r>
      <w:r>
        <w:rPr>
          <w:rFonts w:ascii="仿宋" w:hAnsi="仿宋" w:eastAsia="仿宋"/>
          <w:sz w:val="32"/>
          <w:szCs w:val="32"/>
        </w:rPr>
        <w:t>，其中：中央预算内资金382万元，</w:t>
      </w:r>
      <w:r>
        <w:rPr>
          <w:rFonts w:hint="eastAsia" w:ascii="仿宋" w:hAnsi="仿宋" w:eastAsia="仿宋"/>
          <w:sz w:val="32"/>
          <w:szCs w:val="32"/>
        </w:rPr>
        <w:t>专项建设基金</w:t>
      </w:r>
      <w:r>
        <w:rPr>
          <w:rFonts w:ascii="仿宋" w:hAnsi="仿宋" w:eastAsia="仿宋"/>
          <w:sz w:val="32"/>
          <w:szCs w:val="32"/>
        </w:rPr>
        <w:t>191万元（收回后以扶贫债券形式下发），</w:t>
      </w:r>
      <w:r>
        <w:rPr>
          <w:rFonts w:hint="eastAsia" w:ascii="仿宋" w:hAnsi="仿宋" w:eastAsia="仿宋"/>
          <w:sz w:val="32"/>
          <w:szCs w:val="32"/>
        </w:rPr>
        <w:t>地方政府债券</w:t>
      </w:r>
      <w:r>
        <w:rPr>
          <w:rFonts w:ascii="仿宋" w:hAnsi="仿宋" w:eastAsia="仿宋"/>
          <w:sz w:val="32"/>
          <w:szCs w:val="32"/>
        </w:rPr>
        <w:t>372万元，低息贷款1337万</w:t>
      </w:r>
      <w:r>
        <w:rPr>
          <w:rFonts w:hint="eastAsia" w:ascii="仿宋" w:hAnsi="仿宋" w:eastAsia="仿宋"/>
          <w:sz w:val="32"/>
          <w:szCs w:val="32"/>
          <w:lang w:eastAsia="zh-CN"/>
        </w:rPr>
        <w:t>。</w:t>
      </w:r>
      <w:r>
        <w:rPr>
          <w:rFonts w:ascii="仿宋" w:hAnsi="仿宋" w:eastAsia="仿宋"/>
          <w:sz w:val="32"/>
          <w:szCs w:val="32"/>
        </w:rPr>
        <w:t>元</w:t>
      </w:r>
      <w:r>
        <w:rPr>
          <w:rFonts w:hint="eastAsia" w:ascii="仿宋" w:hAnsi="仿宋" w:eastAsia="仿宋"/>
          <w:sz w:val="32"/>
          <w:szCs w:val="32"/>
        </w:rPr>
        <w:t>。</w:t>
      </w:r>
      <w:r>
        <w:rPr>
          <w:rFonts w:ascii="Times New Roman" w:hAnsi="Times New Roman" w:eastAsia="方正仿宋_GBK"/>
          <w:sz w:val="32"/>
          <w:szCs w:val="32"/>
        </w:rPr>
        <w:t>目前，资金已全部拨付完毕，拨付率100%。</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全面加强易地扶贫搬迁项目资金流程管理，规范操作，确保封闭运行、专款专用。贫困搬迁资金用于建档立卡贫困搬迁人口建设住房和必要的附属设施。（评分为10分）</w:t>
      </w:r>
    </w:p>
    <w:p>
      <w:pPr>
        <w:spacing w:line="560" w:lineRule="exact"/>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（六）后续帮扶</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根据职责分工，由县扶贫办和乡政府量化、细化后续产业帮扶措施。1、通过土地平整，易地扶贫搬迁户在原有土地使用基础上每户增加5亩，人均1.3亩；2、利用基础设施配套的温室大棚、拱棚、棚圈等农业设施，成立蔬菜、养殖合作社，通过大户带小户，从而达到搬迁户增收；3、对搬迁户内有劳动力的家庭，鼓励每户1人就业，通过就业脱贫。4、对“一户一档”脱贫措施由县扶贫办督促乡政府对易地扶贫搬迁贫困户脱贫措施进行复核，并与包户干部共同研判制定产业帮扶措施，做到“一户一档”，精准到人。（评分为19分）</w:t>
      </w:r>
    </w:p>
    <w:p>
      <w:pPr>
        <w:spacing w:line="560" w:lineRule="exact"/>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（七）整改落实</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2016年易地扶贫搬迁项目自治区、地区联合督导组反馈的问题共有四项七个问题；分别为：1.搬迁对象不精准。（1）英吉沙县2016年易地扶贫搬迁搬迁103户、382人。英吉沙县2016年易地扶贫搬迁对象名单，经与自治区扶贫办5月推送英吉沙县搬迁对象名单比对，其中有137人信息不一致。（2）英吉沙县搬迁对象中，有7户30人存在识别前户主即为非农业户口、工商法人和户口迁出情况。（3）重复享受国家惠民政策”。易地扶贫搬迁户中，有63户享受过安居富民房，违反了易地扶贫搬迁户不能重复享受的政策。（4）搬迁对象名单存在调整。芒辛乡计划搬迁28户123人，经动态调整后为28户129人，比原计划搬迁名单多6人。2.易地扶贫搬迁进度缓慢问题。（1）英吉沙县2016年易地扶贫搬迁项目住房建设已全部完成，但截止目前，艾古斯乡75户未搬迁入住，搬迁入住率低。3.易地扶贫搬迁工程建设管理、资金管理问题。（1）工程档案不全，缺少土地使用证。4.后续产业帮扶、旧房拆除复垦。（1）英吉沙县易地扶贫搬迁项目除生态恢复部分已全部完工，在后续产业发展方面措施不够具体，可持续发展后劲不足，就业率较低，到户到人的脱贫发展措施也不够具体；</w:t>
      </w:r>
    </w:p>
    <w:p>
      <w:pPr>
        <w:spacing w:line="560" w:lineRule="exact"/>
        <w:ind w:firstLine="640" w:firstLineChars="200"/>
        <w:rPr>
          <w:rFonts w:ascii="方正仿宋_GBK" w:hAnsi="方正仿宋_GBK" w:eastAsia="方正仿宋_GBK" w:cs="方正仿宋_GBK"/>
          <w:b/>
          <w:sz w:val="32"/>
          <w:szCs w:val="32"/>
        </w:rPr>
      </w:pPr>
      <w:r>
        <w:rPr>
          <w:rFonts w:hint="eastAsia" w:ascii="仿宋_GB2312" w:hAnsi="仿宋_GB2312" w:eastAsia="仿宋_GB2312" w:cs="仿宋_GB2312"/>
          <w:bCs/>
          <w:sz w:val="32"/>
          <w:szCs w:val="32"/>
        </w:rPr>
        <w:t>共两项七个问题，分别为：1.易地扶贫搬迁工程建设管理、资金管理问题。（1）项目未竣工决算。（2）工程整体设计存在缺陷，房屋质量不高。（3）政策宣传不到位，易地搬迁户不知道原宅基地该如何处置。（4）艾古斯乡8村易地搬迁户撒肯托乎提2018年8月入住新房后，房屋漏雨，墙面有裂缝，房门关不住，棚圈设计不合理，需重新改造。（5）易地搬迁户热孜汗阿卜力孜入住后厕所无法正常使用，院内地面未硬化。2.后续产业帮扶、旧房拆除复垦。（1）联排拱棚没有配套的渠道，无法满足种植需求。（2）住房和后院拱棚没有留门，造成生活不便。</w:t>
      </w:r>
      <w:r>
        <w:rPr>
          <w:rFonts w:hint="eastAsia" w:ascii="方正仿宋_GBK" w:hAnsi="方正仿宋_GBK" w:eastAsia="方正仿宋_GBK" w:cs="方正仿宋_GBK"/>
          <w:b/>
          <w:sz w:val="32"/>
          <w:szCs w:val="32"/>
        </w:rPr>
        <w:t>（八）其他方面</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英吉沙县2016年易地扶贫搬迁项目艾古斯乡共6个村，芒辛乡5个村，通过易地扶贫搬迁政策，搬迁户们都住上了新房。都能积极的适应和融入新环境当中，从整体上提升了搬迁户的精神面貌，改善了搬迁户的生活条件。（评分为4分）</w:t>
      </w:r>
    </w:p>
    <w:p>
      <w:pPr>
        <w:spacing w:line="560" w:lineRule="exact"/>
        <w:ind w:firstLine="640" w:firstLineChars="200"/>
        <w:rPr>
          <w:rFonts w:ascii="方正小标宋_GBK" w:hAnsi="方正小标宋_GBK" w:eastAsia="方正小标宋_GBK" w:cs="方正小标宋_GBK"/>
          <w:bCs/>
          <w:sz w:val="32"/>
          <w:szCs w:val="32"/>
        </w:rPr>
      </w:pPr>
      <w:r>
        <w:rPr>
          <w:rFonts w:hint="eastAsia" w:ascii="方正小标宋_GBK" w:hAnsi="方正小标宋_GBK" w:eastAsia="方正小标宋_GBK" w:cs="方正小标宋_GBK"/>
          <w:bCs/>
          <w:sz w:val="32"/>
          <w:szCs w:val="32"/>
        </w:rPr>
        <w:t>四、经验做法</w:t>
      </w:r>
    </w:p>
    <w:p>
      <w:pPr>
        <w:spacing w:line="560" w:lineRule="exact"/>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（一）经验做法</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严格组织，确保住房建设工作。2.精细管理，将易地扶贫搬迁动工数、完工数、入住数、住房面积等情况按照地区要求及时上报，并与相关部门统一报送口径、方便了督查核查，及时掌握易地扶贫搬迁住房建设中存在的问题，以便“有的放矢”进行指导。4.信息共享，实行督查</w:t>
      </w:r>
      <w:r>
        <w:rPr>
          <w:rFonts w:ascii="仿宋_GB2312" w:hAnsi="仿宋_GB2312" w:eastAsia="仿宋_GB2312" w:cs="仿宋_GB2312"/>
          <w:bCs/>
          <w:sz w:val="32"/>
          <w:szCs w:val="32"/>
        </w:rPr>
        <w:t>-整改</w:t>
      </w:r>
      <w:r>
        <w:rPr>
          <w:rFonts w:hint="eastAsia" w:ascii="仿宋_GB2312" w:hAnsi="仿宋_GB2312" w:eastAsia="仿宋_GB2312" w:cs="仿宋_GB2312"/>
          <w:bCs/>
          <w:sz w:val="32"/>
          <w:szCs w:val="32"/>
          <w:lang w:eastAsia="zh-CN"/>
        </w:rPr>
        <w:t>一体</w:t>
      </w:r>
      <w:r>
        <w:rPr>
          <w:rFonts w:hint="eastAsia" w:ascii="仿宋_GB2312" w:hAnsi="仿宋_GB2312" w:eastAsia="仿宋_GB2312" w:cs="仿宋_GB2312"/>
          <w:bCs/>
          <w:sz w:val="32"/>
          <w:szCs w:val="32"/>
        </w:rPr>
        <w:t>。定期或不定期组织对乡镇易地扶贫搬迁住房建设情况进行督查，对发现的问题现场提出整改意见。</w:t>
      </w:r>
    </w:p>
    <w:p>
      <w:pPr>
        <w:spacing w:line="560" w:lineRule="exact"/>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（二）典型案例</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英吉沙县易地扶贫搬迁项目在后续产业发展方面措施不够具体，可持续发展后劲不足，就业率较低，到户到人的脱贫发展措施也不够具体。根据职责分工，由县扶贫办和乡政府量化、细化后续产业帮扶措施。1、通过土地平整，易地扶贫搬迁户在原有土地使用基础上每户增加5亩，人均1亩以上；2、利用基础设施配套的温室大棚、拱棚、棚圈等农业设施，成立蔬菜、养殖合作社，通过大户带小户，从而达到搬迁户增收；3、对搬迁户内有劳动力的家庭，鼓励每户1人就业，通过就业脱贫，截至目前已就业46户56人。4、对“一户一档”脱贫措施由县扶贫办督促乡政府对易地扶贫搬迁贫困户脱贫措施进行复核，并与包户干部共同研判制定产业帮扶措施，做到“一户一档”，精准到人，目前已与各村扶贫第一书记对接，已成立合作社。</w:t>
      </w:r>
    </w:p>
    <w:p>
      <w:pPr>
        <w:spacing w:line="560" w:lineRule="exact"/>
        <w:ind w:firstLine="640" w:firstLineChars="200"/>
        <w:rPr>
          <w:rFonts w:ascii="方正小标宋_GBK" w:hAnsi="方正小标宋_GBK" w:eastAsia="方正小标宋_GBK" w:cs="方正小标宋_GBK"/>
          <w:bCs/>
          <w:sz w:val="32"/>
          <w:szCs w:val="32"/>
        </w:rPr>
      </w:pPr>
      <w:r>
        <w:rPr>
          <w:rFonts w:hint="eastAsia" w:ascii="方正小标宋_GBK" w:hAnsi="方正小标宋_GBK" w:eastAsia="方正小标宋_GBK" w:cs="方正小标宋_GBK"/>
          <w:bCs/>
          <w:sz w:val="32"/>
          <w:szCs w:val="32"/>
        </w:rPr>
        <w:t>五、问题及整改</w:t>
      </w:r>
    </w:p>
    <w:p>
      <w:pPr>
        <w:spacing w:line="560" w:lineRule="exact"/>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（一）主要问题及原因剖析</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主要问题：1.搬迁对象不精准；2.易地扶贫搬迁进度缓慢问题；3.易地扶贫搬迁工程建设管理、资金管理问题；4.后续产业帮扶、旧房拆除复垦。</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原因剖析：1.政策学习不深、不透、把握不准；2.施工单位管理不到位；3.后续产业发展方面措施不够具体，可持续发展后劲不足，到户到人的脱贫发展措施也不够具体。</w:t>
      </w:r>
    </w:p>
    <w:p>
      <w:pPr>
        <w:spacing w:line="560" w:lineRule="exact"/>
        <w:ind w:firstLine="640" w:firstLineChars="200"/>
        <w:rPr>
          <w:rFonts w:ascii="方正仿宋_GBK" w:hAnsi="方正仿宋_GBK" w:eastAsia="方正仿宋_GBK" w:cs="方正仿宋_GBK"/>
          <w:b/>
          <w:sz w:val="32"/>
          <w:szCs w:val="32"/>
        </w:rPr>
      </w:pPr>
      <w:r>
        <w:rPr>
          <w:rFonts w:hint="eastAsia" w:ascii="方正仿宋_GBK" w:hAnsi="方正仿宋_GBK" w:eastAsia="方正仿宋_GBK" w:cs="方正仿宋_GBK"/>
          <w:b/>
          <w:sz w:val="32"/>
          <w:szCs w:val="32"/>
        </w:rPr>
        <w:t>（二）整改问题和自查中发现问题整改落实等情况。</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1.搬迁对象不精准；①英吉沙县2016年易地扶贫搬迁搬迁103户、382人。英吉沙县2016年易地扶贫搬迁对象名单，经与自治区扶贫办5月推送英吉沙县搬迁对象名单比对，其中有137人信息不一致。②英吉沙县搬迁对象中，有7户30人存在识别前户主即为非农业户口、工商法人和户口迁出情况。③重复享受国家惠民政策”。易地扶贫搬迁户中，有63户享受过安居富民房，违反了易地扶贫搬迁户不能重复享受的政策。④搬迁对象名单存在调整。芒辛乡计划搬迁28户123人，经动态调整后为28户129人，比原计划搬迁名单多6人。以上搬迁对象不精准的问题，已于2018年6月5日将重新复核的名单上报地区发改委、地区扶贫办，名单中不存在重复享受项目政策的人员，以上问题全部整改完毕。</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2.易地扶贫搬迁进度缓慢问题；英吉沙县2016年易地扶贫搬迁项目住房建设已全部完成，但截止目前，艾古斯乡75户未搬迁入住，搬迁入住率低。具体整改措施为：根据职责分工，按照要求，县发改委、扶贫办立即与艾古斯乡沟通协调，抽调专人，加快人员复核进度，尽快让符合国家政策的易地扶贫搬迁贫困户入住。目前芒辛乡已入住28户、艾古斯乡入住75户，此问题已整改完毕。</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3.易地扶贫搬迁工程建设管理、资金管理问题；①公共基础配套设施建设缓慢，项目在实施工程中因施工人员力量薄弱，施工单位管理不到位，导致基础设施配套的棚圈、葡萄架、拱棚项目施工缓慢。整改措施：针对公共基础配套设施建设缓慢问题，英吉沙县加强项目管理，倒排工期、挂图作战，加快公共基础配套设施的建设进度，于2018年5月15日之前全部完工，于5月18日对该项目除生态恢复部分外组织相关部门进行验收。此问题已整改完毕。②工程档案不全，缺少土地使用证。整改措施：安排专人按照工程档案要求，收集相关资料并归档完善，工程已审计完毕。工程档案资料已整改完毕；土地证已与县国土局进行沟通对接，正在积极办理。③项目未竣工决算，整改措施：安排专人与县审计局对接，项目资料已报送县审计局，竣工决算审计已处于征求意见阶段。④工程整体设计存在缺陷，房屋质量不高。整改措施：安排专人与县住建局、质监站对接，对房屋质量进行再次核查。⑤政策宣传不到位，易地搬迁户不知道原宅基地该如何处置。整改措施：安排专人与县国土局、乡镇、村党工委对易地搬迁户进行易地扶贫搬迁政策宣传及城乡建设用地增减挂钩政策宣传，与县国土局、乡镇、村党工委进行充分沟通。⑥艾古斯乡8村易地搬迁户撒肯托乎提2018年8月入住新房后，房屋漏雨，墙面有裂缝，房门关不住，棚圈设计不合理，需重新改造。整改措施：已安排专人到村入户进行核实，该问题已整改完毕。⑦易地搬迁户热孜汗阿卜力孜入住后厕所无法正常使用，院内地面未硬化。整改措施：安排专人对问题房屋进行修缮，并举一反三对有同类现象的进行了整改。</w:t>
      </w:r>
    </w:p>
    <w:p>
      <w:pPr>
        <w:spacing w:line="560" w:lineRule="exact"/>
        <w:ind w:firstLine="640" w:firstLineChars="200"/>
      </w:pPr>
      <w:r>
        <w:rPr>
          <w:rFonts w:hint="eastAsia" w:ascii="仿宋_GB2312" w:hAnsi="仿宋_GB2312" w:eastAsia="仿宋_GB2312" w:cs="仿宋_GB2312"/>
          <w:bCs/>
          <w:sz w:val="32"/>
          <w:szCs w:val="32"/>
        </w:rPr>
        <w:t>4.后续产业帮扶、旧房拆除复垦。①英吉沙县易地扶贫搬迁项目除生态恢复部分已全部完工，在后续产业发展方面措施不够具体，可持续发展后劲不足，就业率较低，到户到人的脱贫发展措施也不够具体。整改措施：根据</w:t>
      </w:r>
      <w:bookmarkStart w:id="0" w:name="_GoBack"/>
      <w:bookmarkEnd w:id="0"/>
      <w:r>
        <w:rPr>
          <w:rFonts w:hint="eastAsia" w:ascii="仿宋_GB2312" w:hAnsi="仿宋_GB2312" w:eastAsia="仿宋_GB2312" w:cs="仿宋_GB2312"/>
          <w:bCs/>
          <w:sz w:val="32"/>
          <w:szCs w:val="32"/>
        </w:rPr>
        <w:t>职责分工，由县扶贫办和乡政府量化、细化后续产业帮扶措施。通过土地平整，易地扶贫搬迁户在原有土地使用基础上每户增加5亩，人均1.3亩；利用基础设施配套的温室大棚、拱棚、棚圈等农业设施，成立蔬菜、养殖合作社，通过大户带小户，从而达到搬迁户增收；对搬迁户内有劳动力的家庭，鼓励每户1人就业，通过就业脱贫，截至目前已就业46户56人。对“一户一档”脱贫措施由县扶贫办督促乡政府对易地扶贫搬迁贫困户脱贫措施进行复核，并与包户干部共同研判制定产业帮扶措施，做到“一户一档”，精准到人，此问题已全部整改完毕。②联排拱棚没有配套的渠道，无法满足种植需求。整改措施：及时安排专项资金，对联排拱棚建设渠道，目前已整改完毕。③住房和后院拱棚没有留门，造成生活不便。整改措施：对全县103户易地扶贫搬迁户征求意见，为需要留后门的54户搬迁户安装了后门。</w:t>
      </w:r>
    </w:p>
    <w:p>
      <w:pPr>
        <w:spacing w:line="560" w:lineRule="exact"/>
        <w:ind w:firstLine="640" w:firstLineChars="200"/>
        <w:rPr>
          <w:rFonts w:ascii="方正小标宋_GBK" w:hAnsi="方正小标宋_GBK" w:eastAsia="方正小标宋_GBK" w:cs="方正小标宋_GBK"/>
          <w:bCs/>
          <w:sz w:val="32"/>
          <w:szCs w:val="32"/>
        </w:rPr>
      </w:pPr>
      <w:r>
        <w:rPr>
          <w:rFonts w:hint="eastAsia" w:ascii="方正小标宋_GBK" w:hAnsi="方正小标宋_GBK" w:eastAsia="方正小标宋_GBK" w:cs="方正小标宋_GBK"/>
          <w:bCs/>
          <w:sz w:val="32"/>
          <w:szCs w:val="32"/>
        </w:rPr>
        <w:t>六、年度评价结果</w:t>
      </w: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英吉沙县发展和改革委员会根据8项具体评价内容，进行了年度自评最终得分为95分。</w:t>
      </w:r>
    </w:p>
    <w:p>
      <w:pPr>
        <w:pStyle w:val="2"/>
        <w:rPr>
          <w:rFonts w:ascii="仿宋_GB2312" w:hAnsi="仿宋_GB2312" w:eastAsia="仿宋_GB2312" w:cs="仿宋_GB2312"/>
          <w:bCs/>
          <w:sz w:val="32"/>
        </w:rPr>
      </w:pPr>
    </w:p>
    <w:p>
      <w:pPr>
        <w:rPr>
          <w:rFonts w:ascii="仿宋_GB2312" w:hAnsi="仿宋_GB2312" w:eastAsia="仿宋_GB2312" w:cs="仿宋_GB2312"/>
          <w:bCs/>
          <w:sz w:val="32"/>
          <w:szCs w:val="32"/>
        </w:rPr>
      </w:pPr>
    </w:p>
    <w:p>
      <w:pPr>
        <w:spacing w:line="560" w:lineRule="exact"/>
        <w:ind w:firstLine="640" w:firstLineChars="200"/>
        <w:rPr>
          <w:rFonts w:ascii="仿宋_GB2312" w:hAnsi="仿宋_GB2312" w:eastAsia="仿宋_GB2312" w:cs="仿宋_GB2312"/>
          <w:bCs/>
          <w:sz w:val="32"/>
          <w:szCs w:val="32"/>
        </w:rPr>
      </w:pPr>
      <w:r>
        <w:rPr>
          <w:rFonts w:hint="eastAsia" w:ascii="仿宋_GB2312" w:hAnsi="仿宋_GB2312" w:eastAsia="仿宋_GB2312" w:cs="仿宋_GB2312"/>
          <w:bCs/>
          <w:sz w:val="32"/>
          <w:szCs w:val="32"/>
        </w:rPr>
        <w:t xml:space="preserve">                           英吉沙县发展和改革委员会</w:t>
      </w:r>
    </w:p>
    <w:p>
      <w:pPr>
        <w:spacing w:line="560" w:lineRule="exact"/>
        <w:ind w:firstLine="640" w:firstLineChars="200"/>
      </w:pPr>
      <w:r>
        <w:rPr>
          <w:rFonts w:hint="eastAsia" w:ascii="仿宋_GB2312" w:hAnsi="仿宋_GB2312" w:eastAsia="仿宋_GB2312" w:cs="仿宋_GB2312"/>
          <w:bCs/>
          <w:sz w:val="32"/>
          <w:szCs w:val="32"/>
        </w:rPr>
        <w:t xml:space="preserve">                               2019年1月31日</w:t>
      </w:r>
    </w:p>
    <w:p>
      <w:pPr>
        <w:spacing w:line="480" w:lineRule="exact"/>
        <w:ind w:firstLine="643" w:firstLineChars="200"/>
        <w:jc w:val="left"/>
        <w:textAlignment w:val="center"/>
        <w:outlineLvl w:val="0"/>
        <w:rPr>
          <w:rFonts w:ascii="Times New Roman" w:hAnsi="Times New Roman" w:eastAsia="仿宋_GB2312"/>
          <w:b/>
          <w:sz w:val="32"/>
          <w:szCs w:val="32"/>
        </w:rPr>
      </w:pPr>
    </w:p>
    <w:sectPr>
      <w:headerReference r:id="rId5" w:type="first"/>
      <w:footerReference r:id="rId8" w:type="first"/>
      <w:headerReference r:id="rId3" w:type="default"/>
      <w:footerReference r:id="rId6" w:type="default"/>
      <w:headerReference r:id="rId4" w:type="even"/>
      <w:footerReference r:id="rId7" w:type="even"/>
      <w:pgSz w:w="11906" w:h="16838"/>
      <w:pgMar w:top="2041" w:right="1531" w:bottom="1928" w:left="1531" w:header="851" w:footer="1474" w:gutter="0"/>
      <w:cols w:space="425" w:num="1"/>
      <w:docGrid w:type="lines" w:linePitch="58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ind w:firstLine="480"/>
      <w:rPr>
        <w:rStyle w:val="7"/>
        <w:rFonts w:ascii="Times New Roman" w:hAnsi="Times New Roman"/>
        <w:sz w:val="24"/>
        <w:szCs w:val="24"/>
      </w:rPr>
    </w:pPr>
    <w:r>
      <w:rPr>
        <w:rStyle w:val="7"/>
        <w:rFonts w:ascii="Times New Roman" w:hAnsi="Times New Roman"/>
        <w:sz w:val="24"/>
        <w:szCs w:val="24"/>
      </w:rPr>
      <w:fldChar w:fldCharType="begin"/>
    </w:r>
    <w:r>
      <w:rPr>
        <w:rStyle w:val="7"/>
        <w:rFonts w:ascii="Times New Roman" w:hAnsi="Times New Roman"/>
        <w:sz w:val="24"/>
        <w:szCs w:val="24"/>
      </w:rPr>
      <w:instrText xml:space="preserve">PAGE  </w:instrText>
    </w:r>
    <w:r>
      <w:rPr>
        <w:rStyle w:val="7"/>
        <w:rFonts w:ascii="Times New Roman" w:hAnsi="Times New Roman"/>
        <w:sz w:val="24"/>
        <w:szCs w:val="24"/>
      </w:rPr>
      <w:fldChar w:fldCharType="separate"/>
    </w:r>
    <w:r>
      <w:rPr>
        <w:rStyle w:val="7"/>
        <w:rFonts w:ascii="Times New Roman" w:hAnsi="Times New Roman"/>
        <w:sz w:val="24"/>
        <w:szCs w:val="24"/>
      </w:rPr>
      <w:t>10</w:t>
    </w:r>
    <w:r>
      <w:rPr>
        <w:rStyle w:val="7"/>
        <w:rFonts w:ascii="Times New Roman" w:hAnsi="Times New Roman"/>
        <w:sz w:val="24"/>
        <w:szCs w:val="24"/>
      </w:rPr>
      <w:fldChar w:fldCharType="end"/>
    </w:r>
  </w:p>
  <w:p>
    <w:pPr>
      <w:pStyle w:val="3"/>
      <w:ind w:right="141" w:firstLine="584"/>
      <w:jc w:val="right"/>
      <w:rPr>
        <w:rFonts w:ascii="仿宋_GB2312" w:hAnsi="宋体" w:eastAsia="仿宋_GB2312"/>
        <w:caps/>
        <w:sz w:val="28"/>
        <w:szCs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ind w:firstLine="480"/>
      <w:rPr>
        <w:rStyle w:val="7"/>
        <w:rFonts w:ascii="Times New Roman" w:hAnsi="Times New Roman"/>
        <w:sz w:val="24"/>
        <w:szCs w:val="24"/>
      </w:rPr>
    </w:pPr>
    <w:r>
      <w:rPr>
        <w:rStyle w:val="7"/>
        <w:rFonts w:ascii="Times New Roman" w:hAnsi="Times New Roman"/>
        <w:sz w:val="24"/>
        <w:szCs w:val="24"/>
      </w:rPr>
      <w:fldChar w:fldCharType="begin"/>
    </w:r>
    <w:r>
      <w:rPr>
        <w:rStyle w:val="7"/>
        <w:rFonts w:ascii="Times New Roman" w:hAnsi="Times New Roman"/>
        <w:sz w:val="24"/>
        <w:szCs w:val="24"/>
      </w:rPr>
      <w:instrText xml:space="preserve">PAGE  </w:instrText>
    </w:r>
    <w:r>
      <w:rPr>
        <w:rStyle w:val="7"/>
        <w:rFonts w:ascii="Times New Roman" w:hAnsi="Times New Roman"/>
        <w:sz w:val="24"/>
        <w:szCs w:val="24"/>
      </w:rPr>
      <w:fldChar w:fldCharType="separate"/>
    </w:r>
    <w:r>
      <w:rPr>
        <w:rStyle w:val="7"/>
        <w:rFonts w:ascii="Times New Roman" w:hAnsi="Times New Roman"/>
        <w:sz w:val="24"/>
        <w:szCs w:val="24"/>
      </w:rPr>
      <w:t>4</w:t>
    </w:r>
    <w:r>
      <w:rPr>
        <w:rStyle w:val="7"/>
        <w:rFonts w:ascii="Times New Roman" w:hAnsi="Times New Roman"/>
        <w:sz w:val="24"/>
        <w:szCs w:val="24"/>
      </w:rPr>
      <w:fldChar w:fldCharType="end"/>
    </w:r>
  </w:p>
  <w:p>
    <w:pPr>
      <w:pStyle w:val="3"/>
      <w:ind w:right="141" w:firstLine="584"/>
      <w:rPr>
        <w:rFonts w:ascii="仿宋_GB2312" w:hAnsi="宋体" w:eastAsia="仿宋_GB2312"/>
        <w:caps/>
        <w:sz w:val="28"/>
        <w:szCs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8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8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ind w:firstLine="38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8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33BF30A"/>
    <w:multiLevelType w:val="singleLevel"/>
    <w:tmpl w:val="B33BF30A"/>
    <w:lvl w:ilvl="0" w:tentative="0">
      <w:start w:val="4"/>
      <w:numFmt w:val="chineseCounting"/>
      <w:suff w:val="nothing"/>
      <w:lvlText w:val="（%1）"/>
      <w:lvlJc w:val="left"/>
      <w:rPr>
        <w:rFonts w:hint="eastAsia"/>
      </w:rPr>
    </w:lvl>
  </w:abstractNum>
  <w:abstractNum w:abstractNumId="1">
    <w:nsid w:val="65561FE7"/>
    <w:multiLevelType w:val="singleLevel"/>
    <w:tmpl w:val="65561FE7"/>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ocumentProtection w:enforcement="0"/>
  <w:defaultTabStop w:val="420"/>
  <w:drawingGridHorizontalSpacing w:val="105"/>
  <w:drawingGridVerticalSpacing w:val="294"/>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2"/>
  </w:compat>
  <w:rsids>
    <w:rsidRoot w:val="00C04937"/>
    <w:rsid w:val="0001710A"/>
    <w:rsid w:val="00017D09"/>
    <w:rsid w:val="00040DE6"/>
    <w:rsid w:val="00044390"/>
    <w:rsid w:val="000551EF"/>
    <w:rsid w:val="00055A0D"/>
    <w:rsid w:val="00064F24"/>
    <w:rsid w:val="00084174"/>
    <w:rsid w:val="000A56DA"/>
    <w:rsid w:val="000B2DA9"/>
    <w:rsid w:val="000C4923"/>
    <w:rsid w:val="000C74D1"/>
    <w:rsid w:val="000E4201"/>
    <w:rsid w:val="000F089E"/>
    <w:rsid w:val="00110676"/>
    <w:rsid w:val="00125211"/>
    <w:rsid w:val="00153508"/>
    <w:rsid w:val="001604FF"/>
    <w:rsid w:val="001612F3"/>
    <w:rsid w:val="001645C7"/>
    <w:rsid w:val="00171F00"/>
    <w:rsid w:val="00193ADD"/>
    <w:rsid w:val="001A1193"/>
    <w:rsid w:val="00221187"/>
    <w:rsid w:val="002405DB"/>
    <w:rsid w:val="00244F57"/>
    <w:rsid w:val="0026704F"/>
    <w:rsid w:val="002B02B5"/>
    <w:rsid w:val="002C44B0"/>
    <w:rsid w:val="002C5DD5"/>
    <w:rsid w:val="002C78F6"/>
    <w:rsid w:val="002E4E82"/>
    <w:rsid w:val="00301315"/>
    <w:rsid w:val="003243A0"/>
    <w:rsid w:val="00342C5A"/>
    <w:rsid w:val="00346ECB"/>
    <w:rsid w:val="003A0E69"/>
    <w:rsid w:val="003D1B18"/>
    <w:rsid w:val="003E0189"/>
    <w:rsid w:val="003E43C4"/>
    <w:rsid w:val="003F007D"/>
    <w:rsid w:val="0041287F"/>
    <w:rsid w:val="00414497"/>
    <w:rsid w:val="00423F80"/>
    <w:rsid w:val="0043547E"/>
    <w:rsid w:val="00437995"/>
    <w:rsid w:val="004908D6"/>
    <w:rsid w:val="004B0109"/>
    <w:rsid w:val="004B32F9"/>
    <w:rsid w:val="004C6660"/>
    <w:rsid w:val="004E2422"/>
    <w:rsid w:val="004E5E6D"/>
    <w:rsid w:val="005053F2"/>
    <w:rsid w:val="00516DB0"/>
    <w:rsid w:val="005618FD"/>
    <w:rsid w:val="00564D80"/>
    <w:rsid w:val="00585466"/>
    <w:rsid w:val="00586F8D"/>
    <w:rsid w:val="0060708F"/>
    <w:rsid w:val="00610AB4"/>
    <w:rsid w:val="00654D5C"/>
    <w:rsid w:val="00655E29"/>
    <w:rsid w:val="006631AD"/>
    <w:rsid w:val="00676B54"/>
    <w:rsid w:val="00682EF2"/>
    <w:rsid w:val="00690987"/>
    <w:rsid w:val="006A18E2"/>
    <w:rsid w:val="006A69F7"/>
    <w:rsid w:val="006B3B36"/>
    <w:rsid w:val="006C7237"/>
    <w:rsid w:val="006D32EF"/>
    <w:rsid w:val="006E5FF8"/>
    <w:rsid w:val="00721F60"/>
    <w:rsid w:val="00726A2D"/>
    <w:rsid w:val="0073045B"/>
    <w:rsid w:val="00761F0B"/>
    <w:rsid w:val="00772FC8"/>
    <w:rsid w:val="00786E1F"/>
    <w:rsid w:val="007A3A0D"/>
    <w:rsid w:val="007F4277"/>
    <w:rsid w:val="00821185"/>
    <w:rsid w:val="00853C60"/>
    <w:rsid w:val="008D481A"/>
    <w:rsid w:val="008D5EDB"/>
    <w:rsid w:val="00903B76"/>
    <w:rsid w:val="00920796"/>
    <w:rsid w:val="00926DA7"/>
    <w:rsid w:val="00933FC5"/>
    <w:rsid w:val="00967E35"/>
    <w:rsid w:val="00987B55"/>
    <w:rsid w:val="009A28DA"/>
    <w:rsid w:val="009C74AC"/>
    <w:rsid w:val="00A04332"/>
    <w:rsid w:val="00A263D5"/>
    <w:rsid w:val="00A364A6"/>
    <w:rsid w:val="00A44A79"/>
    <w:rsid w:val="00A75705"/>
    <w:rsid w:val="00A811CD"/>
    <w:rsid w:val="00A81516"/>
    <w:rsid w:val="00AA6BC0"/>
    <w:rsid w:val="00AC3E14"/>
    <w:rsid w:val="00AC5720"/>
    <w:rsid w:val="00AD43FD"/>
    <w:rsid w:val="00AE6716"/>
    <w:rsid w:val="00AF1EEC"/>
    <w:rsid w:val="00B01CEA"/>
    <w:rsid w:val="00B34FA1"/>
    <w:rsid w:val="00B41C78"/>
    <w:rsid w:val="00B456F0"/>
    <w:rsid w:val="00B52142"/>
    <w:rsid w:val="00B52FFA"/>
    <w:rsid w:val="00B61759"/>
    <w:rsid w:val="00B753D5"/>
    <w:rsid w:val="00B849DA"/>
    <w:rsid w:val="00BA1925"/>
    <w:rsid w:val="00BB08C2"/>
    <w:rsid w:val="00BE4AD5"/>
    <w:rsid w:val="00BE778B"/>
    <w:rsid w:val="00BF07DE"/>
    <w:rsid w:val="00C04937"/>
    <w:rsid w:val="00C215E8"/>
    <w:rsid w:val="00C2351C"/>
    <w:rsid w:val="00C27860"/>
    <w:rsid w:val="00C45905"/>
    <w:rsid w:val="00C94210"/>
    <w:rsid w:val="00CA59B3"/>
    <w:rsid w:val="00CC5361"/>
    <w:rsid w:val="00CD53A6"/>
    <w:rsid w:val="00CF35E1"/>
    <w:rsid w:val="00CF72FA"/>
    <w:rsid w:val="00CF7329"/>
    <w:rsid w:val="00D57DE7"/>
    <w:rsid w:val="00D655CE"/>
    <w:rsid w:val="00D805DE"/>
    <w:rsid w:val="00D90A88"/>
    <w:rsid w:val="00D93A30"/>
    <w:rsid w:val="00D96202"/>
    <w:rsid w:val="00DD108F"/>
    <w:rsid w:val="00DD736A"/>
    <w:rsid w:val="00E163D7"/>
    <w:rsid w:val="00E36943"/>
    <w:rsid w:val="00E40D25"/>
    <w:rsid w:val="00E4481D"/>
    <w:rsid w:val="00E51ED4"/>
    <w:rsid w:val="00E53BF8"/>
    <w:rsid w:val="00E667C6"/>
    <w:rsid w:val="00E73225"/>
    <w:rsid w:val="00E7792C"/>
    <w:rsid w:val="00EE1312"/>
    <w:rsid w:val="00EF70A8"/>
    <w:rsid w:val="00F0538C"/>
    <w:rsid w:val="00F0562C"/>
    <w:rsid w:val="00F05B71"/>
    <w:rsid w:val="00F127C8"/>
    <w:rsid w:val="00F2793E"/>
    <w:rsid w:val="00F32772"/>
    <w:rsid w:val="00F43BC7"/>
    <w:rsid w:val="00F50838"/>
    <w:rsid w:val="00F64BD2"/>
    <w:rsid w:val="00F95E12"/>
    <w:rsid w:val="00FD7BA9"/>
    <w:rsid w:val="00FE2A80"/>
    <w:rsid w:val="0FE636E0"/>
    <w:rsid w:val="205A1BBF"/>
    <w:rsid w:val="24613114"/>
    <w:rsid w:val="2BD41535"/>
    <w:rsid w:val="2EED2C99"/>
    <w:rsid w:val="3A9762CB"/>
    <w:rsid w:val="3E45147C"/>
    <w:rsid w:val="3E6006C1"/>
    <w:rsid w:val="45DC6007"/>
    <w:rsid w:val="48C11DE1"/>
    <w:rsid w:val="50B009AE"/>
    <w:rsid w:val="5A473007"/>
    <w:rsid w:val="5A6E46A6"/>
    <w:rsid w:val="66645E12"/>
    <w:rsid w:val="6C29528E"/>
    <w:rsid w:val="6D612E7A"/>
    <w:rsid w:val="72856478"/>
    <w:rsid w:val="7ADB08B2"/>
    <w:rsid w:val="7C4C6EB7"/>
    <w:rsid w:val="7D8117DB"/>
    <w:rsid w:val="7E4F0E13"/>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semiHidden="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3"/>
    <w:basedOn w:val="1"/>
    <w:next w:val="1"/>
    <w:unhideWhenUsed/>
    <w:qFormat/>
    <w:locked/>
    <w:uiPriority w:val="0"/>
    <w:pPr>
      <w:keepNext/>
      <w:keepLines/>
      <w:widowControl/>
      <w:spacing w:before="260" w:after="260" w:line="416" w:lineRule="auto"/>
      <w:textAlignment w:val="baseline"/>
      <w:outlineLvl w:val="2"/>
    </w:pPr>
    <w:rPr>
      <w:b/>
      <w:color w:val="000000"/>
      <w:kern w:val="0"/>
      <w:szCs w:val="32"/>
      <w:u w:color="000000"/>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3">
    <w:name w:val="footer"/>
    <w:basedOn w:val="1"/>
    <w:link w:val="9"/>
    <w:qFormat/>
    <w:uiPriority w:val="99"/>
    <w:pPr>
      <w:tabs>
        <w:tab w:val="center" w:pos="4153"/>
        <w:tab w:val="right" w:pos="8306"/>
      </w:tabs>
      <w:snapToGrid w:val="0"/>
      <w:jc w:val="left"/>
    </w:pPr>
    <w:rPr>
      <w:sz w:val="18"/>
      <w:szCs w:val="18"/>
    </w:rPr>
  </w:style>
  <w:style w:type="paragraph" w:styleId="4">
    <w:name w:val="header"/>
    <w:basedOn w:val="1"/>
    <w:link w:val="8"/>
    <w:qFormat/>
    <w:uiPriority w:val="99"/>
    <w:pPr>
      <w:pBdr>
        <w:bottom w:val="single" w:color="auto" w:sz="6" w:space="1"/>
      </w:pBdr>
      <w:tabs>
        <w:tab w:val="center" w:pos="4153"/>
        <w:tab w:val="right" w:pos="8306"/>
      </w:tabs>
      <w:snapToGrid w:val="0"/>
      <w:jc w:val="center"/>
    </w:pPr>
    <w:rPr>
      <w:sz w:val="18"/>
      <w:szCs w:val="18"/>
    </w:rPr>
  </w:style>
  <w:style w:type="character" w:styleId="7">
    <w:name w:val="page number"/>
    <w:qFormat/>
    <w:uiPriority w:val="99"/>
    <w:rPr>
      <w:rFonts w:cs="Times New Roman"/>
    </w:rPr>
  </w:style>
  <w:style w:type="character" w:customStyle="1" w:styleId="8">
    <w:name w:val="页眉 Char"/>
    <w:link w:val="4"/>
    <w:qFormat/>
    <w:locked/>
    <w:uiPriority w:val="99"/>
    <w:rPr>
      <w:rFonts w:cs="Times New Roman"/>
      <w:sz w:val="18"/>
      <w:szCs w:val="18"/>
    </w:rPr>
  </w:style>
  <w:style w:type="character" w:customStyle="1" w:styleId="9">
    <w:name w:val="页脚 Char"/>
    <w:link w:val="3"/>
    <w:qFormat/>
    <w:locked/>
    <w:uiPriority w:val="99"/>
    <w:rPr>
      <w:rFonts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10</Pages>
  <Words>796</Words>
  <Characters>4540</Characters>
  <Lines>37</Lines>
  <Paragraphs>10</Paragraphs>
  <TotalTime>29</TotalTime>
  <ScaleCrop>false</ScaleCrop>
  <LinksUpToDate>false</LinksUpToDate>
  <CharactersWithSpaces>5326</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2017-08-04T03:06:00Z</dcterms:created>
  <dc:creator>梁智</dc:creator>
  <cp:lastModifiedBy>Administrator</cp:lastModifiedBy>
  <cp:lastPrinted>2018-12-07T11:26:00Z</cp:lastPrinted>
  <dcterms:modified xsi:type="dcterms:W3CDTF">2019-09-20T08:58:43Z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